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6E7926">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BA50DC" w:rsidP="007A6C46">
            <w:pPr>
              <w:spacing w:after="0" w:line="240" w:lineRule="auto"/>
              <w:ind w:right="218"/>
              <w:jc w:val="both"/>
              <w:rPr>
                <w:rFonts w:ascii="Times New Roman" w:hAnsi="Times New Roman"/>
                <w:sz w:val="24"/>
                <w:szCs w:val="24"/>
              </w:rPr>
            </w:pPr>
            <w:r w:rsidRPr="00BA50DC">
              <w:rPr>
                <w:rFonts w:ascii="Times New Roman" w:hAnsi="Times New Roman"/>
                <w:sz w:val="24"/>
                <w:szCs w:val="24"/>
              </w:rPr>
              <w:t>Поставка химикатов для бассейнов ООО «Санаторий «Заполярье» на 2025 г.</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E95810" w:rsidRDefault="007A6C46" w:rsidP="00E95810">
            <w:pPr>
              <w:spacing w:after="0" w:line="240" w:lineRule="auto"/>
              <w:contextualSpacing/>
              <w:jc w:val="both"/>
              <w:outlineLvl w:val="0"/>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Согласно спецификации, являющейся приложением № 1 к настоящему приглашению.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F25A8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F25A85">
              <w:rPr>
                <w:rFonts w:ascii="Times New Roman" w:eastAsia="Times New Roman" w:hAnsi="Times New Roman"/>
                <w:sz w:val="24"/>
                <w:szCs w:val="24"/>
                <w:lang w:eastAsia="ru-RU"/>
              </w:rPr>
              <w:t>цен</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970D14">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07509F">
              <w:rPr>
                <w:rFonts w:ascii="Times New Roman" w:eastAsia="Times New Roman" w:hAnsi="Times New Roman"/>
                <w:b/>
                <w:i/>
                <w:sz w:val="24"/>
                <w:szCs w:val="24"/>
                <w:lang w:eastAsia="ru-RU"/>
              </w:rPr>
              <w:t>12 часов 00 минут «</w:t>
            </w:r>
            <w:r w:rsidR="00BA50DC">
              <w:rPr>
                <w:rFonts w:ascii="Times New Roman" w:eastAsia="Times New Roman" w:hAnsi="Times New Roman"/>
                <w:b/>
                <w:i/>
                <w:sz w:val="24"/>
                <w:szCs w:val="24"/>
                <w:lang w:eastAsia="ru-RU"/>
              </w:rPr>
              <w:t>05</w:t>
            </w:r>
            <w:r w:rsidRPr="00321DFF">
              <w:rPr>
                <w:rFonts w:ascii="Times New Roman" w:eastAsia="Times New Roman" w:hAnsi="Times New Roman"/>
                <w:b/>
                <w:i/>
                <w:sz w:val="24"/>
                <w:szCs w:val="24"/>
                <w:lang w:eastAsia="ru-RU"/>
              </w:rPr>
              <w:t xml:space="preserve">» </w:t>
            </w:r>
            <w:r w:rsidR="00BA50DC">
              <w:rPr>
                <w:rFonts w:ascii="Times New Roman" w:eastAsia="Times New Roman" w:hAnsi="Times New Roman"/>
                <w:b/>
                <w:i/>
                <w:sz w:val="24"/>
                <w:szCs w:val="24"/>
                <w:lang w:eastAsia="ru-RU"/>
              </w:rPr>
              <w:t>декабря</w:t>
            </w:r>
            <w:r w:rsidRPr="00321DFF">
              <w:rPr>
                <w:rFonts w:ascii="Times New Roman" w:eastAsia="Times New Roman" w:hAnsi="Times New Roman"/>
                <w:b/>
                <w:i/>
                <w:sz w:val="24"/>
                <w:szCs w:val="24"/>
                <w:lang w:eastAsia="ru-RU"/>
              </w:rPr>
              <w:t xml:space="preserve">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в том числе доставка, разгрузка товара по адресу г. Сочи, ул. Пирогова, д. 10 </w:t>
            </w:r>
            <w:r w:rsidR="00FA6ABB">
              <w:rPr>
                <w:rFonts w:ascii="Times New Roman" w:eastAsia="Times New Roman" w:hAnsi="Times New Roman"/>
                <w:sz w:val="24"/>
                <w:szCs w:val="24"/>
                <w:lang w:eastAsia="ar-SA"/>
              </w:rPr>
              <w:br/>
            </w:r>
            <w:r w:rsidRPr="00321DFF">
              <w:rPr>
                <w:rFonts w:ascii="Times New Roman" w:eastAsia="Times New Roman" w:hAnsi="Times New Roman"/>
                <w:sz w:val="24"/>
                <w:szCs w:val="24"/>
                <w:lang w:eastAsia="ar-SA"/>
              </w:rPr>
              <w:t>(ООО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2A7AC2" w:rsidRPr="00321DFF" w:rsidRDefault="002A7AC2" w:rsidP="00634971">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rPr>
              <w:t>Авансовый платеж не предусмотрен</w:t>
            </w:r>
            <w:r w:rsidR="002B361E" w:rsidRPr="00321DFF">
              <w:rPr>
                <w:rFonts w:ascii="Times New Roman" w:eastAsia="Times New Roman" w:hAnsi="Times New Roman"/>
                <w:sz w:val="24"/>
                <w:szCs w:val="24"/>
              </w:rPr>
              <w:t>.</w:t>
            </w:r>
            <w:r w:rsidRPr="00321DFF">
              <w:rPr>
                <w:rFonts w:ascii="Times New Roman" w:eastAsia="Times New Roman" w:hAnsi="Times New Roman"/>
                <w:sz w:val="24"/>
                <w:szCs w:val="24"/>
              </w:rPr>
              <w:t xml:space="preserve"> </w:t>
            </w:r>
            <w:r w:rsidR="002B361E" w:rsidRPr="00321DFF">
              <w:rPr>
                <w:rFonts w:ascii="Times New Roman" w:eastAsia="Times New Roman" w:hAnsi="Times New Roman"/>
                <w:sz w:val="24"/>
                <w:szCs w:val="24"/>
              </w:rPr>
              <w:t>О</w:t>
            </w:r>
            <w:r w:rsidRPr="00321DFF">
              <w:rPr>
                <w:rFonts w:ascii="Times New Roman" w:eastAsia="Times New Roman" w:hAnsi="Times New Roman"/>
                <w:sz w:val="24"/>
                <w:szCs w:val="24"/>
              </w:rPr>
              <w:t xml:space="preserve">плата </w:t>
            </w:r>
            <w:r w:rsidR="002B361E" w:rsidRPr="00321DFF">
              <w:rPr>
                <w:rFonts w:ascii="Times New Roman" w:eastAsia="Times New Roman" w:hAnsi="Times New Roman"/>
                <w:sz w:val="24"/>
                <w:szCs w:val="24"/>
              </w:rPr>
              <w:t>за поставленный товар осуществляется на основании подписанного Сторонами первичного учетного документа с</w:t>
            </w:r>
            <w:r w:rsidRPr="00321DFF">
              <w:rPr>
                <w:rFonts w:ascii="Times New Roman" w:eastAsia="Times New Roman" w:hAnsi="Times New Roman"/>
                <w:sz w:val="24"/>
                <w:szCs w:val="24"/>
              </w:rPr>
              <w:t xml:space="preserve"> отсрочкой платежа не </w:t>
            </w:r>
            <w:r w:rsidR="00C202A2" w:rsidRPr="00321DFF">
              <w:rPr>
                <w:rFonts w:ascii="Times New Roman" w:eastAsia="Times New Roman" w:hAnsi="Times New Roman"/>
                <w:sz w:val="24"/>
                <w:szCs w:val="24"/>
              </w:rPr>
              <w:t xml:space="preserve">менее </w:t>
            </w:r>
            <w:r w:rsidR="001D19A1" w:rsidRPr="00321DFF">
              <w:rPr>
                <w:rFonts w:ascii="Times New Roman" w:eastAsia="Times New Roman" w:hAnsi="Times New Roman"/>
                <w:sz w:val="24"/>
                <w:szCs w:val="24"/>
              </w:rPr>
              <w:t>6</w:t>
            </w:r>
            <w:r w:rsidR="00C202A2" w:rsidRPr="00321DFF">
              <w:rPr>
                <w:rFonts w:ascii="Times New Roman" w:eastAsia="Times New Roman" w:hAnsi="Times New Roman"/>
                <w:sz w:val="24"/>
                <w:szCs w:val="24"/>
              </w:rPr>
              <w:t xml:space="preserve">0 и не </w:t>
            </w:r>
            <w:r w:rsidRPr="00321DFF">
              <w:rPr>
                <w:rFonts w:ascii="Times New Roman" w:eastAsia="Times New Roman" w:hAnsi="Times New Roman"/>
                <w:sz w:val="24"/>
                <w:szCs w:val="24"/>
              </w:rPr>
              <w:t xml:space="preserve">более </w:t>
            </w:r>
            <w:r w:rsidR="00C202A2" w:rsidRPr="00321DFF">
              <w:rPr>
                <w:rFonts w:ascii="Times New Roman" w:eastAsia="Times New Roman" w:hAnsi="Times New Roman"/>
                <w:sz w:val="24"/>
                <w:szCs w:val="24"/>
              </w:rPr>
              <w:t>7</w:t>
            </w:r>
            <w:r w:rsidRPr="00321DFF">
              <w:rPr>
                <w:rFonts w:ascii="Times New Roman" w:eastAsia="Times New Roman" w:hAnsi="Times New Roman"/>
                <w:sz w:val="24"/>
                <w:szCs w:val="24"/>
              </w:rPr>
              <w:t xml:space="preserve">0 календарных дней </w:t>
            </w:r>
            <w:r w:rsidR="002B361E" w:rsidRPr="00321DFF">
              <w:rPr>
                <w:rFonts w:ascii="Times New Roman" w:eastAsia="Times New Roman" w:hAnsi="Times New Roman"/>
                <w:sz w:val="24"/>
                <w:szCs w:val="24"/>
                <w:lang w:eastAsia="ru-RU"/>
              </w:rPr>
              <w:t xml:space="preserve">с момента получения Заказчиком счета на оплату и счета-фактуры, оформленного в соответствии с требованиями действующего законодательства.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График / Срок поставки / </w:t>
            </w:r>
            <w:r w:rsidRPr="00321DFF">
              <w:rPr>
                <w:rFonts w:ascii="Times New Roman" w:eastAsia="Times New Roman" w:hAnsi="Times New Roman"/>
                <w:sz w:val="24"/>
                <w:szCs w:val="24"/>
                <w:lang w:eastAsia="ru-RU"/>
              </w:rPr>
              <w:lastRenderedPageBreak/>
              <w:t>выполнения работ / оказания услуг.</w:t>
            </w:r>
          </w:p>
        </w:tc>
        <w:tc>
          <w:tcPr>
            <w:tcW w:w="7513" w:type="dxa"/>
            <w:shd w:val="clear" w:color="auto" w:fill="auto"/>
            <w:vAlign w:val="center"/>
          </w:tcPr>
          <w:p w:rsidR="002A7AC2" w:rsidRPr="00321DFF" w:rsidRDefault="00700629" w:rsidP="0076582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003E7C4D">
              <w:rPr>
                <w:rFonts w:ascii="Times New Roman" w:eastAsia="Times New Roman" w:hAnsi="Times New Roman"/>
                <w:sz w:val="24"/>
                <w:szCs w:val="24"/>
                <w:lang w:eastAsia="ru-RU"/>
              </w:rPr>
              <w:t>оставк</w:t>
            </w:r>
            <w:r>
              <w:rPr>
                <w:rFonts w:ascii="Times New Roman" w:eastAsia="Times New Roman" w:hAnsi="Times New Roman"/>
                <w:sz w:val="24"/>
                <w:szCs w:val="24"/>
                <w:lang w:eastAsia="ru-RU"/>
              </w:rPr>
              <w:t>а</w:t>
            </w:r>
            <w:r w:rsidR="003E7C4D">
              <w:rPr>
                <w:rFonts w:ascii="Times New Roman" w:eastAsia="Times New Roman" w:hAnsi="Times New Roman"/>
                <w:sz w:val="24"/>
                <w:szCs w:val="24"/>
                <w:lang w:eastAsia="ru-RU"/>
              </w:rPr>
              <w:t xml:space="preserve"> товара</w:t>
            </w:r>
            <w:r>
              <w:rPr>
                <w:rFonts w:ascii="Times New Roman" w:eastAsia="Times New Roman" w:hAnsi="Times New Roman"/>
                <w:sz w:val="24"/>
                <w:szCs w:val="24"/>
                <w:lang w:eastAsia="ru-RU"/>
              </w:rPr>
              <w:t xml:space="preserve"> производится</w:t>
            </w:r>
            <w:r w:rsidR="00765825">
              <w:rPr>
                <w:rFonts w:ascii="Times New Roman" w:eastAsia="Times New Roman" w:hAnsi="Times New Roman"/>
                <w:sz w:val="24"/>
                <w:szCs w:val="24"/>
                <w:lang w:eastAsia="ru-RU"/>
              </w:rPr>
              <w:t xml:space="preserve"> </w:t>
            </w:r>
            <w:r w:rsidRPr="00700629">
              <w:rPr>
                <w:rFonts w:ascii="Times New Roman" w:eastAsia="Times New Roman" w:hAnsi="Times New Roman"/>
                <w:sz w:val="24"/>
                <w:szCs w:val="24"/>
                <w:lang w:eastAsia="ru-RU"/>
              </w:rPr>
              <w:t xml:space="preserve">партиями </w:t>
            </w:r>
            <w:r w:rsidR="00800465">
              <w:rPr>
                <w:rFonts w:ascii="Times New Roman" w:eastAsia="Times New Roman" w:hAnsi="Times New Roman"/>
                <w:sz w:val="24"/>
                <w:szCs w:val="24"/>
                <w:lang w:eastAsia="ru-RU"/>
              </w:rPr>
              <w:t>ежеквартально</w:t>
            </w:r>
            <w:r w:rsidRPr="00700629">
              <w:rPr>
                <w:rFonts w:ascii="Times New Roman" w:eastAsia="Times New Roman" w:hAnsi="Times New Roman"/>
                <w:sz w:val="24"/>
                <w:szCs w:val="24"/>
                <w:lang w:eastAsia="ru-RU"/>
              </w:rPr>
              <w:t xml:space="preserve"> </w:t>
            </w:r>
            <w:r w:rsidR="00800465">
              <w:rPr>
                <w:rFonts w:ascii="Times New Roman" w:eastAsia="Times New Roman" w:hAnsi="Times New Roman"/>
                <w:sz w:val="24"/>
                <w:szCs w:val="24"/>
                <w:lang w:eastAsia="ru-RU"/>
              </w:rPr>
              <w:t>в</w:t>
            </w:r>
            <w:r w:rsidR="00800465" w:rsidRPr="00700629">
              <w:rPr>
                <w:rFonts w:ascii="Times New Roman" w:eastAsia="Times New Roman" w:hAnsi="Times New Roman"/>
                <w:sz w:val="24"/>
                <w:szCs w:val="24"/>
                <w:lang w:eastAsia="ru-RU"/>
              </w:rPr>
              <w:t xml:space="preserve"> </w:t>
            </w:r>
            <w:r w:rsidRPr="00700629">
              <w:rPr>
                <w:rFonts w:ascii="Times New Roman" w:eastAsia="Times New Roman" w:hAnsi="Times New Roman"/>
                <w:sz w:val="24"/>
                <w:szCs w:val="24"/>
                <w:lang w:eastAsia="ru-RU"/>
              </w:rPr>
              <w:t>202</w:t>
            </w:r>
            <w:r>
              <w:rPr>
                <w:rFonts w:ascii="Times New Roman" w:eastAsia="Times New Roman" w:hAnsi="Times New Roman"/>
                <w:sz w:val="24"/>
                <w:szCs w:val="24"/>
                <w:lang w:eastAsia="ru-RU"/>
              </w:rPr>
              <w:t>5</w:t>
            </w:r>
            <w:r w:rsidRPr="00700629">
              <w:rPr>
                <w:rFonts w:ascii="Times New Roman" w:eastAsia="Times New Roman" w:hAnsi="Times New Roman"/>
                <w:sz w:val="24"/>
                <w:szCs w:val="24"/>
                <w:lang w:eastAsia="ru-RU"/>
              </w:rPr>
              <w:t xml:space="preserve"> г. в срок не более </w:t>
            </w:r>
            <w:r w:rsidR="000F05E8" w:rsidRPr="000F05E8">
              <w:rPr>
                <w:rFonts w:ascii="Times New Roman" w:eastAsia="Times New Roman" w:hAnsi="Times New Roman"/>
                <w:sz w:val="24"/>
                <w:szCs w:val="24"/>
                <w:lang w:eastAsia="ru-RU"/>
              </w:rPr>
              <w:t xml:space="preserve">7 (семи) календарных </w:t>
            </w:r>
            <w:r w:rsidRPr="00700629">
              <w:rPr>
                <w:rFonts w:ascii="Times New Roman" w:eastAsia="Times New Roman" w:hAnsi="Times New Roman"/>
                <w:sz w:val="24"/>
                <w:szCs w:val="24"/>
                <w:lang w:eastAsia="ru-RU"/>
              </w:rPr>
              <w:t xml:space="preserve">дней с даты направления </w:t>
            </w:r>
            <w:r w:rsidR="00CE5385" w:rsidRPr="00700629">
              <w:rPr>
                <w:rFonts w:ascii="Times New Roman" w:eastAsia="Times New Roman" w:hAnsi="Times New Roman"/>
                <w:sz w:val="24"/>
                <w:szCs w:val="24"/>
                <w:lang w:eastAsia="ru-RU"/>
              </w:rPr>
              <w:t>заявки</w:t>
            </w:r>
            <w:r w:rsidR="00CE5385">
              <w:rPr>
                <w:rFonts w:ascii="Times New Roman" w:eastAsia="Times New Roman" w:hAnsi="Times New Roman"/>
                <w:sz w:val="24"/>
                <w:szCs w:val="24"/>
                <w:lang w:eastAsia="ru-RU"/>
              </w:rPr>
              <w:t xml:space="preserve"> Заказчика.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упаковке товара: заводская, оригинальная в соответствии с требованиями ГОСТ, ТУ, обеспечивающая целостность и сохранность товара от всякого рода повреждений при транспортировке различными видами транспорта.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AC1E58"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noProof/>
                <w:sz w:val="24"/>
                <w:szCs w:val="24"/>
                <w:lang w:eastAsia="ru-RU"/>
              </w:rPr>
              <w:t>Поставщик гарантирует качество и безопасность поставленого</w:t>
            </w:r>
            <w:r w:rsidRPr="00321DFF">
              <w:rPr>
                <w:rFonts w:ascii="Times New Roman" w:eastAsia="Times New Roman" w:hAnsi="Times New Roman"/>
                <w:sz w:val="24"/>
                <w:szCs w:val="24"/>
                <w:lang w:eastAsia="ru-RU"/>
              </w:rPr>
              <w:t xml:space="preserve"> Т</w:t>
            </w:r>
            <w:r w:rsidRPr="00321DFF">
              <w:rPr>
                <w:rFonts w:ascii="Times New Roman" w:eastAsia="Times New Roman" w:hAnsi="Times New Roman"/>
                <w:noProof/>
                <w:sz w:val="24"/>
                <w:szCs w:val="24"/>
                <w:lang w:eastAsia="ru-RU"/>
              </w:rPr>
              <w:t>овара в</w:t>
            </w:r>
            <w:r w:rsidRPr="00321DFF">
              <w:rPr>
                <w:rFonts w:ascii="Times New Roman" w:eastAsia="Times New Roman" w:hAnsi="Times New Roman"/>
                <w:sz w:val="24"/>
                <w:szCs w:val="24"/>
                <w:lang w:eastAsia="ru-RU"/>
              </w:rPr>
              <w:t xml:space="preserve"> соответствии с государственными стандартами, санитарно-эпидемиологическими правилами и нормативами (СанПиН, ТУ, ГОСТ), 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иными  документами обязательными для данного вида товара, подтверждающие качество и безопасность  товара, оформленными в соответствии с законодательством Российской Федерации (при поставке)</w:t>
            </w:r>
            <w:r w:rsidR="00920F07">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2A7AC2" w:rsidRPr="00321DFF" w:rsidRDefault="0044679A"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2A7AC2" w:rsidRPr="00321DFF" w:rsidRDefault="0044679A"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p w:rsidR="003E3888" w:rsidRPr="003E3888" w:rsidRDefault="003E3888" w:rsidP="003E3888">
            <w:pPr>
              <w:spacing w:after="0" w:line="240" w:lineRule="auto"/>
              <w:rPr>
                <w:rFonts w:ascii="Times New Roman" w:eastAsia="Times New Roman" w:hAnsi="Times New Roman"/>
                <w:b/>
                <w:i/>
                <w:sz w:val="24"/>
                <w:szCs w:val="24"/>
                <w:lang w:eastAsia="ru-RU"/>
              </w:rPr>
            </w:pPr>
            <w:r w:rsidRPr="003E3888">
              <w:rPr>
                <w:rFonts w:ascii="Times New Roman" w:eastAsia="Times New Roman" w:hAnsi="Times New Roman"/>
                <w:b/>
                <w:i/>
                <w:sz w:val="24"/>
                <w:szCs w:val="24"/>
                <w:lang w:eastAsia="ru-RU"/>
              </w:rPr>
              <w:lastRenderedPageBreak/>
              <w:t xml:space="preserve">В случае </w:t>
            </w:r>
            <w:r>
              <w:rPr>
                <w:rFonts w:ascii="Times New Roman" w:eastAsia="Times New Roman" w:hAnsi="Times New Roman"/>
                <w:b/>
                <w:i/>
                <w:sz w:val="24"/>
                <w:szCs w:val="24"/>
                <w:lang w:eastAsia="ru-RU"/>
              </w:rPr>
              <w:t xml:space="preserve">не предоставления </w:t>
            </w:r>
            <w:r w:rsidR="00905312">
              <w:rPr>
                <w:rFonts w:ascii="Times New Roman" w:eastAsia="Times New Roman" w:hAnsi="Times New Roman"/>
                <w:b/>
                <w:i/>
                <w:sz w:val="24"/>
                <w:szCs w:val="24"/>
                <w:lang w:eastAsia="ru-RU"/>
              </w:rPr>
              <w:t xml:space="preserve">полного </w:t>
            </w:r>
            <w:r>
              <w:rPr>
                <w:rFonts w:ascii="Times New Roman" w:eastAsia="Times New Roman" w:hAnsi="Times New Roman"/>
                <w:b/>
                <w:i/>
                <w:sz w:val="24"/>
                <w:szCs w:val="24"/>
                <w:lang w:eastAsia="ru-RU"/>
              </w:rPr>
              <w:t>комплекта документов</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tc>
        <w:tc>
          <w:tcPr>
            <w:tcW w:w="7513" w:type="dxa"/>
            <w:shd w:val="clear" w:color="auto" w:fill="auto"/>
            <w:vAlign w:val="center"/>
          </w:tcPr>
          <w:p w:rsidR="003D2041" w:rsidRPr="008318A4" w:rsidRDefault="003D2041" w:rsidP="001A612B">
            <w:pPr>
              <w:spacing w:after="0" w:line="240" w:lineRule="auto"/>
              <w:jc w:val="both"/>
              <w:rPr>
                <w:rFonts w:ascii="Times New Roman" w:hAnsi="Times New Roman"/>
                <w:sz w:val="24"/>
                <w:szCs w:val="24"/>
              </w:rPr>
            </w:pPr>
            <w:r w:rsidRPr="008318A4">
              <w:rPr>
                <w:rFonts w:ascii="Times New Roman" w:hAnsi="Times New Roman"/>
                <w:sz w:val="24"/>
                <w:szCs w:val="24"/>
              </w:rPr>
              <w:lastRenderedPageBreak/>
              <w:t xml:space="preserve">Перечень документов, подтверждающих благонадежность Поставщика: </w:t>
            </w:r>
          </w:p>
          <w:p w:rsidR="003D2041" w:rsidRPr="008318A4" w:rsidRDefault="003D2041" w:rsidP="001A612B">
            <w:pPr>
              <w:pStyle w:val="ad"/>
              <w:numPr>
                <w:ilvl w:val="0"/>
                <w:numId w:val="37"/>
              </w:numPr>
              <w:ind w:left="4" w:firstLine="425"/>
              <w:rPr>
                <w:szCs w:val="24"/>
              </w:rPr>
            </w:pPr>
            <w:r w:rsidRPr="008318A4">
              <w:rPr>
                <w:szCs w:val="24"/>
              </w:rPr>
              <w:t xml:space="preserve">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w:t>
            </w:r>
            <w:r w:rsidRPr="008318A4">
              <w:rPr>
                <w:szCs w:val="24"/>
              </w:rPr>
              <w:lastRenderedPageBreak/>
              <w:t>заверенная уполномоченным лицом или главным бухгалтером контрагента с указанием даты заверения)</w:t>
            </w:r>
            <w:r w:rsidR="002F3598" w:rsidRPr="008318A4">
              <w:rPr>
                <w:szCs w:val="24"/>
              </w:rPr>
              <w:t>;</w:t>
            </w:r>
          </w:p>
          <w:p w:rsidR="003D2041" w:rsidRPr="008318A4" w:rsidRDefault="003D2041" w:rsidP="003D2041">
            <w:pPr>
              <w:pStyle w:val="ad"/>
              <w:numPr>
                <w:ilvl w:val="0"/>
                <w:numId w:val="37"/>
              </w:numPr>
              <w:ind w:left="0" w:firstLine="360"/>
              <w:rPr>
                <w:rFonts w:eastAsia="Calibri"/>
                <w:szCs w:val="24"/>
                <w:lang w:eastAsia="en-US"/>
              </w:rPr>
            </w:pPr>
            <w:r w:rsidRPr="008318A4">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8318A4">
              <w:rPr>
                <w:szCs w:val="24"/>
              </w:rPr>
              <w:t>;</w:t>
            </w:r>
          </w:p>
          <w:p w:rsidR="003D2041" w:rsidRPr="008318A4" w:rsidRDefault="003D2041" w:rsidP="003D2041">
            <w:pPr>
              <w:pStyle w:val="ad"/>
              <w:numPr>
                <w:ilvl w:val="0"/>
                <w:numId w:val="37"/>
              </w:numPr>
              <w:ind w:left="0" w:firstLine="360"/>
              <w:rPr>
                <w:rFonts w:eastAsia="Calibri"/>
                <w:szCs w:val="24"/>
                <w:lang w:eastAsia="en-US"/>
              </w:rPr>
            </w:pPr>
            <w:r w:rsidRPr="008318A4">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8318A4">
              <w:rPr>
                <w:szCs w:val="24"/>
              </w:rPr>
              <w:t>.</w:t>
            </w:r>
          </w:p>
          <w:p w:rsidR="003D2041" w:rsidRPr="008318A4" w:rsidRDefault="003D2041" w:rsidP="003D2041">
            <w:pPr>
              <w:pStyle w:val="ad"/>
              <w:ind w:left="360"/>
              <w:rPr>
                <w:rFonts w:eastAsia="Calibri"/>
                <w:szCs w:val="24"/>
                <w:lang w:eastAsia="en-US"/>
              </w:rPr>
            </w:pPr>
          </w:p>
          <w:p w:rsidR="003D2041" w:rsidRPr="008318A4" w:rsidRDefault="003D2041" w:rsidP="001A612B">
            <w:pPr>
              <w:spacing w:after="0" w:line="240" w:lineRule="auto"/>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8318A4" w:rsidRDefault="003D2041" w:rsidP="003D2041">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8318A4" w:rsidRDefault="003D2041" w:rsidP="002F3598">
            <w:pPr>
              <w:spacing w:after="0" w:line="240" w:lineRule="auto"/>
              <w:ind w:left="4" w:firstLine="283"/>
              <w:jc w:val="both"/>
              <w:rPr>
                <w:rFonts w:ascii="Times New Roman" w:eastAsia="Times New Roman" w:hAnsi="Times New Roman"/>
                <w:sz w:val="24"/>
                <w:szCs w:val="24"/>
                <w:lang w:eastAsia="ru-RU"/>
              </w:rPr>
            </w:pPr>
            <w:r w:rsidRPr="008318A4">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8318A4">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по представлению документов, подтверждающих </w:t>
            </w:r>
            <w:r w:rsidRPr="00321DFF">
              <w:rPr>
                <w:rFonts w:ascii="Times New Roman" w:eastAsia="Times New Roman" w:hAnsi="Times New Roman"/>
                <w:sz w:val="24"/>
                <w:szCs w:val="24"/>
                <w:lang w:eastAsia="ru-RU"/>
              </w:rPr>
              <w:lastRenderedPageBreak/>
              <w:t>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905312" w:rsidRDefault="00905312" w:rsidP="002A7AC2">
            <w:pPr>
              <w:spacing w:after="0" w:line="240" w:lineRule="auto"/>
              <w:rPr>
                <w:rFonts w:ascii="Times New Roman" w:eastAsia="Times New Roman" w:hAnsi="Times New Roman"/>
                <w:b/>
                <w:i/>
                <w:sz w:val="24"/>
                <w:szCs w:val="24"/>
                <w:lang w:eastAsia="ru-RU"/>
              </w:rPr>
            </w:pPr>
          </w:p>
          <w:p w:rsidR="00905312" w:rsidRPr="00321DFF" w:rsidRDefault="00905312" w:rsidP="002A7AC2">
            <w:pPr>
              <w:spacing w:after="0" w:line="240" w:lineRule="auto"/>
              <w:rPr>
                <w:rFonts w:ascii="Times New Roman" w:eastAsia="Times New Roman" w:hAnsi="Times New Roman"/>
                <w:sz w:val="24"/>
                <w:szCs w:val="24"/>
                <w:lang w:eastAsia="ru-RU"/>
              </w:rPr>
            </w:pPr>
            <w:r w:rsidRPr="003E3888">
              <w:rPr>
                <w:rFonts w:ascii="Times New Roman" w:eastAsia="Times New Roman" w:hAnsi="Times New Roman"/>
                <w:b/>
                <w:i/>
                <w:sz w:val="24"/>
                <w:szCs w:val="24"/>
                <w:lang w:eastAsia="ru-RU"/>
              </w:rPr>
              <w:t xml:space="preserve">В случае </w:t>
            </w:r>
            <w:bookmarkStart w:id="0" w:name="_GoBack"/>
            <w:bookmarkEnd w:id="0"/>
            <w:r w:rsidR="003F1163">
              <w:rPr>
                <w:rFonts w:ascii="Times New Roman" w:eastAsia="Times New Roman" w:hAnsi="Times New Roman"/>
                <w:b/>
                <w:i/>
                <w:sz w:val="24"/>
                <w:szCs w:val="24"/>
                <w:lang w:eastAsia="ru-RU"/>
              </w:rPr>
              <w:t>несоответствия</w:t>
            </w:r>
            <w:r>
              <w:rPr>
                <w:rFonts w:ascii="Times New Roman" w:eastAsia="Times New Roman" w:hAnsi="Times New Roman"/>
                <w:b/>
                <w:i/>
                <w:sz w:val="24"/>
                <w:szCs w:val="24"/>
                <w:lang w:eastAsia="ru-RU"/>
              </w:rPr>
              <w:t xml:space="preserve"> установленным требованиям</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Отсутствие сведений об Участнике закупочной процедуры в реестре недобросовестных поставщиков, предусмотренном статьей 5 </w:t>
            </w:r>
            <w:r w:rsidRPr="00321DFF">
              <w:rPr>
                <w:rFonts w:ascii="Times New Roman" w:eastAsia="Times New Roman" w:hAnsi="Times New Roman"/>
                <w:sz w:val="24"/>
                <w:szCs w:val="24"/>
                <w:lang w:eastAsia="ru-RU"/>
              </w:rPr>
              <w:lastRenderedPageBreak/>
              <w:t>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Pr="00321DFF"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tc>
      </w:tr>
      <w:tr w:rsidR="0066581D" w:rsidRPr="00851F9C" w:rsidTr="006E7926">
        <w:trPr>
          <w:trHeight w:val="328"/>
        </w:trPr>
        <w:tc>
          <w:tcPr>
            <w:tcW w:w="567" w:type="dxa"/>
            <w:vAlign w:val="center"/>
          </w:tcPr>
          <w:p w:rsidR="0066581D" w:rsidRPr="00321DFF" w:rsidRDefault="0066581D" w:rsidP="0066581D">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66581D" w:rsidRPr="00321DFF" w:rsidRDefault="0066581D" w:rsidP="0066581D">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66581D" w:rsidRPr="00321DFF" w:rsidRDefault="00E57E03" w:rsidP="00DD0905">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r w:rsidR="00A966EA">
              <w:rPr>
                <w:rFonts w:ascii="Times New Roman" w:eastAsia="Times New Roman" w:hAnsi="Times New Roman"/>
                <w:sz w:val="24"/>
                <w:szCs w:val="24"/>
                <w:lang w:eastAsia="ru-RU"/>
              </w:rPr>
              <w:t xml:space="preserve">. </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796741" w:rsidRPr="00484B90" w:rsidRDefault="00796741" w:rsidP="00796741">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Приложение №</w:t>
      </w:r>
      <w:r w:rsidR="00F43F3B">
        <w:rPr>
          <w:rFonts w:ascii="Times New Roman" w:eastAsia="Times New Roman" w:hAnsi="Times New Roman"/>
          <w:sz w:val="24"/>
          <w:szCs w:val="24"/>
          <w:lang w:eastAsia="ru-RU"/>
        </w:rPr>
        <w:t>1</w:t>
      </w:r>
      <w:r w:rsidRPr="00484B90">
        <w:rPr>
          <w:rFonts w:ascii="Times New Roman" w:eastAsia="Times New Roman" w:hAnsi="Times New Roman"/>
          <w:sz w:val="24"/>
          <w:szCs w:val="24"/>
          <w:lang w:eastAsia="ru-RU"/>
        </w:rPr>
        <w:t xml:space="preserve">. </w:t>
      </w:r>
      <w:r w:rsidR="005B623A">
        <w:rPr>
          <w:rFonts w:ascii="Times New Roman" w:eastAsia="Times New Roman" w:hAnsi="Times New Roman"/>
          <w:sz w:val="24"/>
          <w:szCs w:val="24"/>
          <w:lang w:eastAsia="ru-RU"/>
        </w:rPr>
        <w:t xml:space="preserve">Спецификация на поставку товара. </w:t>
      </w:r>
    </w:p>
    <w:p w:rsidR="00796741" w:rsidRPr="007F45AF" w:rsidRDefault="00F43F3B" w:rsidP="005B623A">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Приложение №2</w:t>
      </w:r>
      <w:r w:rsidR="00796741" w:rsidRPr="00484B90">
        <w:rPr>
          <w:rFonts w:ascii="Times New Roman" w:eastAsia="Times New Roman" w:hAnsi="Times New Roman"/>
          <w:sz w:val="24"/>
          <w:szCs w:val="24"/>
          <w:lang w:eastAsia="ru-RU"/>
        </w:rPr>
        <w:t xml:space="preserve">. </w:t>
      </w:r>
      <w:r w:rsidR="005B623A" w:rsidRPr="007F45AF">
        <w:rPr>
          <w:rFonts w:ascii="Times New Roman" w:eastAsia="Times New Roman" w:hAnsi="Times New Roman"/>
          <w:sz w:val="24"/>
          <w:szCs w:val="24"/>
          <w:lang w:eastAsia="ru-RU"/>
        </w:rPr>
        <w:t>Заявка на участие в закупочной процедуре (форма к заполнению).</w:t>
      </w:r>
    </w:p>
    <w:p w:rsidR="00796741" w:rsidRPr="007F45AF" w:rsidRDefault="00F43F3B" w:rsidP="00796741">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7F45AF">
        <w:rPr>
          <w:rFonts w:ascii="Times New Roman" w:eastAsia="Times New Roman" w:hAnsi="Times New Roman"/>
          <w:sz w:val="24"/>
          <w:szCs w:val="24"/>
          <w:lang w:eastAsia="ru-RU"/>
        </w:rPr>
        <w:t>Приложение №3</w:t>
      </w:r>
      <w:r w:rsidR="00796741" w:rsidRPr="007F45AF">
        <w:rPr>
          <w:rFonts w:ascii="Times New Roman" w:eastAsia="Times New Roman" w:hAnsi="Times New Roman"/>
          <w:sz w:val="24"/>
          <w:szCs w:val="24"/>
          <w:lang w:eastAsia="ru-RU"/>
        </w:rPr>
        <w:t xml:space="preserve">. </w:t>
      </w:r>
      <w:r w:rsidR="005B623A" w:rsidRPr="007F45AF">
        <w:rPr>
          <w:rFonts w:ascii="Times New Roman" w:eastAsia="Times New Roman" w:hAnsi="Times New Roman"/>
          <w:sz w:val="24"/>
          <w:szCs w:val="24"/>
          <w:lang w:eastAsia="ru-RU"/>
        </w:rPr>
        <w:t>Типовая форма договора</w:t>
      </w:r>
      <w:r w:rsidR="00471664" w:rsidRPr="007F45AF">
        <w:rPr>
          <w:rFonts w:ascii="Times New Roman" w:eastAsia="Times New Roman" w:hAnsi="Times New Roman"/>
          <w:sz w:val="24"/>
          <w:szCs w:val="24"/>
          <w:lang w:eastAsia="ru-RU"/>
        </w:rPr>
        <w:t xml:space="preserve"> (ознакомительно)</w:t>
      </w:r>
      <w:r w:rsidR="005B623A" w:rsidRPr="007F45AF">
        <w:rPr>
          <w:rFonts w:ascii="Times New Roman" w:eastAsia="Times New Roman" w:hAnsi="Times New Roman"/>
          <w:sz w:val="24"/>
          <w:szCs w:val="24"/>
          <w:lang w:eastAsia="ru-RU"/>
        </w:rPr>
        <w:t>.</w:t>
      </w:r>
    </w:p>
    <w:p w:rsidR="001F17CA" w:rsidRPr="007F45AF" w:rsidRDefault="00017A3F" w:rsidP="001F0B4B">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7F45AF">
        <w:rPr>
          <w:rFonts w:ascii="Times New Roman" w:eastAsia="Times New Roman" w:hAnsi="Times New Roman"/>
          <w:sz w:val="24"/>
          <w:szCs w:val="24"/>
          <w:lang w:eastAsia="ru-RU"/>
        </w:rPr>
        <w:t>Приложение №</w:t>
      </w:r>
      <w:r w:rsidR="00F43F3B" w:rsidRPr="007F45AF">
        <w:rPr>
          <w:rFonts w:ascii="Times New Roman" w:eastAsia="Times New Roman" w:hAnsi="Times New Roman"/>
          <w:sz w:val="24"/>
          <w:szCs w:val="24"/>
          <w:lang w:eastAsia="ru-RU"/>
        </w:rPr>
        <w:t>4</w:t>
      </w:r>
      <w:r w:rsidRPr="007F45AF">
        <w:rPr>
          <w:rFonts w:ascii="Times New Roman" w:eastAsia="Times New Roman" w:hAnsi="Times New Roman"/>
          <w:sz w:val="24"/>
          <w:szCs w:val="24"/>
          <w:lang w:eastAsia="ru-RU"/>
        </w:rPr>
        <w:t>.</w:t>
      </w:r>
      <w:r w:rsidR="005B5E4A" w:rsidRPr="007F45AF">
        <w:rPr>
          <w:rFonts w:ascii="Times New Roman" w:eastAsia="Times New Roman" w:hAnsi="Times New Roman"/>
          <w:sz w:val="24"/>
          <w:szCs w:val="24"/>
          <w:lang w:eastAsia="ru-RU"/>
        </w:rPr>
        <w:t xml:space="preserve"> </w:t>
      </w:r>
      <w:r w:rsidR="005B623A" w:rsidRPr="007F45AF">
        <w:rPr>
          <w:rFonts w:ascii="Times New Roman" w:eastAsia="Times New Roman" w:hAnsi="Times New Roman"/>
          <w:sz w:val="24"/>
          <w:szCs w:val="24"/>
          <w:lang w:eastAsia="ru-RU"/>
        </w:rPr>
        <w:t>Карточка контрагента (форма к заполнению).</w:t>
      </w:r>
    </w:p>
    <w:p w:rsidR="0046595B" w:rsidRPr="007F45AF" w:rsidRDefault="0046595B" w:rsidP="00D05B6D">
      <w:pPr>
        <w:tabs>
          <w:tab w:val="left" w:pos="10065"/>
          <w:tab w:val="left" w:pos="10490"/>
        </w:tabs>
        <w:spacing w:after="0" w:line="240" w:lineRule="auto"/>
        <w:ind w:left="1843" w:right="333" w:hanging="1843"/>
        <w:rPr>
          <w:rFonts w:ascii="Times New Roman" w:eastAsia="Times New Roman" w:hAnsi="Times New Roman"/>
          <w:sz w:val="24"/>
          <w:szCs w:val="24"/>
          <w:lang w:eastAsia="ru-RU"/>
        </w:rPr>
      </w:pPr>
      <w:r w:rsidRPr="007F45AF">
        <w:rPr>
          <w:rFonts w:ascii="Times New Roman" w:eastAsia="Times New Roman" w:hAnsi="Times New Roman"/>
          <w:sz w:val="24"/>
          <w:szCs w:val="24"/>
          <w:lang w:eastAsia="ru-RU"/>
        </w:rPr>
        <w:t>Приложение</w:t>
      </w:r>
      <w:r w:rsidR="00D05B6D" w:rsidRPr="007F45AF">
        <w:rPr>
          <w:rFonts w:ascii="Times New Roman" w:eastAsia="Times New Roman" w:hAnsi="Times New Roman"/>
          <w:sz w:val="24"/>
          <w:szCs w:val="24"/>
          <w:lang w:eastAsia="ru-RU"/>
        </w:rPr>
        <w:t xml:space="preserve"> </w:t>
      </w:r>
      <w:r w:rsidR="00F43F3B" w:rsidRPr="007F45AF">
        <w:rPr>
          <w:rFonts w:ascii="Times New Roman" w:eastAsia="Times New Roman" w:hAnsi="Times New Roman"/>
          <w:sz w:val="24"/>
          <w:szCs w:val="24"/>
          <w:lang w:eastAsia="ru-RU"/>
        </w:rPr>
        <w:t>№5</w:t>
      </w:r>
      <w:r w:rsidRPr="007F45AF">
        <w:rPr>
          <w:rFonts w:ascii="Times New Roman" w:eastAsia="Times New Roman" w:hAnsi="Times New Roman"/>
          <w:sz w:val="24"/>
          <w:szCs w:val="24"/>
          <w:lang w:eastAsia="ru-RU"/>
        </w:rPr>
        <w:t xml:space="preserve">. </w:t>
      </w:r>
      <w:r w:rsidR="005B623A" w:rsidRPr="007F45AF">
        <w:rPr>
          <w:rFonts w:ascii="Times New Roman" w:eastAsia="Times New Roman" w:hAnsi="Times New Roman"/>
          <w:sz w:val="24"/>
          <w:szCs w:val="24"/>
          <w:lang w:eastAsia="ru-RU"/>
        </w:rPr>
        <w:t>Форма подачи ценового предложения (форма к заполнению).</w:t>
      </w:r>
    </w:p>
    <w:p w:rsidR="005B623A" w:rsidRPr="007F45AF" w:rsidRDefault="005B623A" w:rsidP="00D05B6D">
      <w:pPr>
        <w:tabs>
          <w:tab w:val="left" w:pos="10065"/>
          <w:tab w:val="left" w:pos="10490"/>
        </w:tabs>
        <w:spacing w:after="0" w:line="240" w:lineRule="auto"/>
        <w:ind w:left="1843" w:right="333" w:hanging="1843"/>
        <w:rPr>
          <w:rFonts w:ascii="Times New Roman" w:eastAsia="Times New Roman" w:hAnsi="Times New Roman"/>
          <w:sz w:val="24"/>
          <w:szCs w:val="24"/>
          <w:lang w:eastAsia="ru-RU"/>
        </w:rPr>
      </w:pPr>
      <w:r w:rsidRPr="007F45AF">
        <w:rPr>
          <w:rFonts w:ascii="Times New Roman" w:eastAsia="Times New Roman" w:hAnsi="Times New Roman"/>
          <w:sz w:val="24"/>
          <w:szCs w:val="24"/>
          <w:lang w:eastAsia="ru-RU"/>
        </w:rPr>
        <w:t>Приложение №6. Декларация Участника закупочной процедуры о соответствии установленным требованиям (форма к заполнению).</w:t>
      </w: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r w:rsidR="004D71FD">
              <w:rPr>
                <w:rFonts w:ascii="Times New Roman" w:hAnsi="Times New Roman"/>
                <w:b/>
                <w:bCs/>
                <w:sz w:val="24"/>
                <w:szCs w:val="24"/>
              </w:rPr>
              <w:t>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092B5D">
      <w:pgSz w:w="11906" w:h="16838"/>
      <w:pgMar w:top="851" w:right="567" w:bottom="993"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F99" w:rsidRDefault="00896F99" w:rsidP="00B50A78">
      <w:pPr>
        <w:spacing w:after="0" w:line="240" w:lineRule="auto"/>
      </w:pPr>
      <w:r>
        <w:separator/>
      </w:r>
    </w:p>
  </w:endnote>
  <w:endnote w:type="continuationSeparator" w:id="0">
    <w:p w:rsidR="00896F99" w:rsidRDefault="00896F99"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F99" w:rsidRDefault="00896F99" w:rsidP="00B50A78">
      <w:pPr>
        <w:spacing w:after="0" w:line="240" w:lineRule="auto"/>
      </w:pPr>
      <w:r>
        <w:separator/>
      </w:r>
    </w:p>
  </w:footnote>
  <w:footnote w:type="continuationSeparator" w:id="0">
    <w:p w:rsidR="00896F99" w:rsidRDefault="00896F99"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1"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11"/>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5"/>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9"/>
  </w:num>
  <w:num w:numId="23">
    <w:abstractNumId w:val="5"/>
  </w:num>
  <w:num w:numId="24">
    <w:abstractNumId w:val="11"/>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5"/>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9"/>
  </w:num>
  <w:num w:numId="29">
    <w:abstractNumId w:val="5"/>
  </w:num>
  <w:num w:numId="30">
    <w:abstractNumId w:val="11"/>
    <w:lvlOverride w:ilvl="0">
      <w:startOverride w:val="1"/>
    </w:lvlOverride>
    <w:lvlOverride w:ilvl="1"/>
    <w:lvlOverride w:ilvl="2"/>
    <w:lvlOverride w:ilvl="3"/>
    <w:lvlOverride w:ilvl="4"/>
    <w:lvlOverride w:ilvl="5"/>
    <w:lvlOverride w:ilvl="6"/>
    <w:lvlOverride w:ilvl="7"/>
    <w:lvlOverride w:ilvl="8"/>
  </w:num>
  <w:num w:numId="31">
    <w:abstractNumId w:val="9"/>
  </w:num>
  <w:num w:numId="32">
    <w:abstractNumId w:val="5"/>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
  </w:num>
  <w:num w:numId="35">
    <w:abstractNumId w:val="4"/>
  </w:num>
  <w:num w:numId="36">
    <w:abstractNumId w:val="10"/>
  </w:num>
  <w:num w:numId="37">
    <w:abstractNumId w:val="6"/>
  </w:num>
  <w:num w:numId="38">
    <w:abstractNumId w:val="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6194"/>
    <w:rsid w:val="00007F44"/>
    <w:rsid w:val="00017A3F"/>
    <w:rsid w:val="00024BDC"/>
    <w:rsid w:val="00030799"/>
    <w:rsid w:val="00032D0E"/>
    <w:rsid w:val="0003495F"/>
    <w:rsid w:val="0004394F"/>
    <w:rsid w:val="000527DC"/>
    <w:rsid w:val="000556F3"/>
    <w:rsid w:val="000708A2"/>
    <w:rsid w:val="0007509F"/>
    <w:rsid w:val="00076B5C"/>
    <w:rsid w:val="00077FD8"/>
    <w:rsid w:val="00080520"/>
    <w:rsid w:val="00085B28"/>
    <w:rsid w:val="00086F19"/>
    <w:rsid w:val="00091DB0"/>
    <w:rsid w:val="0009214E"/>
    <w:rsid w:val="00092B5D"/>
    <w:rsid w:val="000941C5"/>
    <w:rsid w:val="00096F41"/>
    <w:rsid w:val="00097607"/>
    <w:rsid w:val="000B7CFF"/>
    <w:rsid w:val="000C2BCC"/>
    <w:rsid w:val="000C3413"/>
    <w:rsid w:val="000D4814"/>
    <w:rsid w:val="000D4F69"/>
    <w:rsid w:val="000E2921"/>
    <w:rsid w:val="000E71A1"/>
    <w:rsid w:val="000F05E8"/>
    <w:rsid w:val="000F5BB0"/>
    <w:rsid w:val="00106C5C"/>
    <w:rsid w:val="00125C74"/>
    <w:rsid w:val="00137642"/>
    <w:rsid w:val="00142821"/>
    <w:rsid w:val="00142FA5"/>
    <w:rsid w:val="00145151"/>
    <w:rsid w:val="001511F7"/>
    <w:rsid w:val="00154C93"/>
    <w:rsid w:val="00156804"/>
    <w:rsid w:val="001726D5"/>
    <w:rsid w:val="00174135"/>
    <w:rsid w:val="00180B50"/>
    <w:rsid w:val="00182D04"/>
    <w:rsid w:val="00194BDA"/>
    <w:rsid w:val="001968E2"/>
    <w:rsid w:val="00197160"/>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15389"/>
    <w:rsid w:val="002301D6"/>
    <w:rsid w:val="00232189"/>
    <w:rsid w:val="00236368"/>
    <w:rsid w:val="00242E91"/>
    <w:rsid w:val="00247DDB"/>
    <w:rsid w:val="002501D5"/>
    <w:rsid w:val="002502BE"/>
    <w:rsid w:val="00251BA0"/>
    <w:rsid w:val="00257B10"/>
    <w:rsid w:val="002607C0"/>
    <w:rsid w:val="002615A2"/>
    <w:rsid w:val="00265D99"/>
    <w:rsid w:val="00270110"/>
    <w:rsid w:val="00271876"/>
    <w:rsid w:val="0027530E"/>
    <w:rsid w:val="002811AD"/>
    <w:rsid w:val="00292EAC"/>
    <w:rsid w:val="002A7AC2"/>
    <w:rsid w:val="002B361E"/>
    <w:rsid w:val="002C3DC0"/>
    <w:rsid w:val="002D213A"/>
    <w:rsid w:val="002D22F3"/>
    <w:rsid w:val="002D3D6A"/>
    <w:rsid w:val="002D6DB3"/>
    <w:rsid w:val="002D773C"/>
    <w:rsid w:val="002E33E8"/>
    <w:rsid w:val="002E68AE"/>
    <w:rsid w:val="002F28EA"/>
    <w:rsid w:val="002F3465"/>
    <w:rsid w:val="002F3598"/>
    <w:rsid w:val="002F3CCE"/>
    <w:rsid w:val="00300F05"/>
    <w:rsid w:val="003038A4"/>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DE1"/>
    <w:rsid w:val="003A337C"/>
    <w:rsid w:val="003A5627"/>
    <w:rsid w:val="003B793D"/>
    <w:rsid w:val="003C6139"/>
    <w:rsid w:val="003C7F4C"/>
    <w:rsid w:val="003D15C6"/>
    <w:rsid w:val="003D2041"/>
    <w:rsid w:val="003D25F3"/>
    <w:rsid w:val="003E3888"/>
    <w:rsid w:val="003E7C4D"/>
    <w:rsid w:val="003F1163"/>
    <w:rsid w:val="003F3309"/>
    <w:rsid w:val="003F64B9"/>
    <w:rsid w:val="003F6727"/>
    <w:rsid w:val="003F6FB6"/>
    <w:rsid w:val="00401B87"/>
    <w:rsid w:val="00405E01"/>
    <w:rsid w:val="00407CDC"/>
    <w:rsid w:val="004109E6"/>
    <w:rsid w:val="0041405E"/>
    <w:rsid w:val="0041737F"/>
    <w:rsid w:val="004203E7"/>
    <w:rsid w:val="00432439"/>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A0969"/>
    <w:rsid w:val="004A53F2"/>
    <w:rsid w:val="004C1E31"/>
    <w:rsid w:val="004C3971"/>
    <w:rsid w:val="004C5DD2"/>
    <w:rsid w:val="004D0EFC"/>
    <w:rsid w:val="004D1429"/>
    <w:rsid w:val="004D71FD"/>
    <w:rsid w:val="004E09FA"/>
    <w:rsid w:val="004F2EF3"/>
    <w:rsid w:val="00500FAA"/>
    <w:rsid w:val="0050384B"/>
    <w:rsid w:val="005043C9"/>
    <w:rsid w:val="00504757"/>
    <w:rsid w:val="00520464"/>
    <w:rsid w:val="005218C0"/>
    <w:rsid w:val="00526DB5"/>
    <w:rsid w:val="005328DE"/>
    <w:rsid w:val="00532F82"/>
    <w:rsid w:val="00533C0F"/>
    <w:rsid w:val="00537F74"/>
    <w:rsid w:val="005414F6"/>
    <w:rsid w:val="00545312"/>
    <w:rsid w:val="005456C9"/>
    <w:rsid w:val="005542E7"/>
    <w:rsid w:val="005606E2"/>
    <w:rsid w:val="0057112B"/>
    <w:rsid w:val="0057583F"/>
    <w:rsid w:val="005773BE"/>
    <w:rsid w:val="0058036A"/>
    <w:rsid w:val="00590CB3"/>
    <w:rsid w:val="00591B97"/>
    <w:rsid w:val="00596563"/>
    <w:rsid w:val="005B5703"/>
    <w:rsid w:val="005B5E4A"/>
    <w:rsid w:val="005B623A"/>
    <w:rsid w:val="005B7CEA"/>
    <w:rsid w:val="005B7F17"/>
    <w:rsid w:val="005C15B9"/>
    <w:rsid w:val="005C34C6"/>
    <w:rsid w:val="005C5BD1"/>
    <w:rsid w:val="005E0AB0"/>
    <w:rsid w:val="005E4AC9"/>
    <w:rsid w:val="005E573B"/>
    <w:rsid w:val="005F0105"/>
    <w:rsid w:val="005F452E"/>
    <w:rsid w:val="005F7FF2"/>
    <w:rsid w:val="00606E32"/>
    <w:rsid w:val="00615AB8"/>
    <w:rsid w:val="00615BE9"/>
    <w:rsid w:val="0062157C"/>
    <w:rsid w:val="00631CA5"/>
    <w:rsid w:val="006343C1"/>
    <w:rsid w:val="00634971"/>
    <w:rsid w:val="006451E2"/>
    <w:rsid w:val="00650E04"/>
    <w:rsid w:val="006613F0"/>
    <w:rsid w:val="00661DB2"/>
    <w:rsid w:val="00662D7C"/>
    <w:rsid w:val="0066581D"/>
    <w:rsid w:val="0067642C"/>
    <w:rsid w:val="006A15AB"/>
    <w:rsid w:val="006A3C48"/>
    <w:rsid w:val="006A3D55"/>
    <w:rsid w:val="006B6205"/>
    <w:rsid w:val="006B6DD0"/>
    <w:rsid w:val="006C1FC3"/>
    <w:rsid w:val="006D74E9"/>
    <w:rsid w:val="006E7926"/>
    <w:rsid w:val="006E7B93"/>
    <w:rsid w:val="006F62F6"/>
    <w:rsid w:val="00700629"/>
    <w:rsid w:val="00707945"/>
    <w:rsid w:val="00712912"/>
    <w:rsid w:val="00715EF5"/>
    <w:rsid w:val="0072332F"/>
    <w:rsid w:val="007335F8"/>
    <w:rsid w:val="00737A72"/>
    <w:rsid w:val="00746129"/>
    <w:rsid w:val="00747739"/>
    <w:rsid w:val="00747F61"/>
    <w:rsid w:val="007507DC"/>
    <w:rsid w:val="00765825"/>
    <w:rsid w:val="00770910"/>
    <w:rsid w:val="00787A2B"/>
    <w:rsid w:val="00796741"/>
    <w:rsid w:val="007A6C46"/>
    <w:rsid w:val="007B242D"/>
    <w:rsid w:val="007B3736"/>
    <w:rsid w:val="007C1848"/>
    <w:rsid w:val="007C2A60"/>
    <w:rsid w:val="007C2B89"/>
    <w:rsid w:val="007C44F8"/>
    <w:rsid w:val="007E3625"/>
    <w:rsid w:val="007E654A"/>
    <w:rsid w:val="007F2FE7"/>
    <w:rsid w:val="007F3C06"/>
    <w:rsid w:val="007F45AF"/>
    <w:rsid w:val="007F75BA"/>
    <w:rsid w:val="00800465"/>
    <w:rsid w:val="00806CF4"/>
    <w:rsid w:val="00815F34"/>
    <w:rsid w:val="008178AD"/>
    <w:rsid w:val="00822641"/>
    <w:rsid w:val="00825B15"/>
    <w:rsid w:val="008318A4"/>
    <w:rsid w:val="00833376"/>
    <w:rsid w:val="00836BAC"/>
    <w:rsid w:val="00851F9C"/>
    <w:rsid w:val="008528F7"/>
    <w:rsid w:val="00871580"/>
    <w:rsid w:val="0087366D"/>
    <w:rsid w:val="00876171"/>
    <w:rsid w:val="008769FB"/>
    <w:rsid w:val="008942E5"/>
    <w:rsid w:val="00896F99"/>
    <w:rsid w:val="00897848"/>
    <w:rsid w:val="00897ECE"/>
    <w:rsid w:val="008A1ADE"/>
    <w:rsid w:val="008A2255"/>
    <w:rsid w:val="008A5037"/>
    <w:rsid w:val="008A65C6"/>
    <w:rsid w:val="008A7111"/>
    <w:rsid w:val="008B0A51"/>
    <w:rsid w:val="008B44C7"/>
    <w:rsid w:val="008B7FED"/>
    <w:rsid w:val="008C57A9"/>
    <w:rsid w:val="008C7AB9"/>
    <w:rsid w:val="008D1ECF"/>
    <w:rsid w:val="008D5990"/>
    <w:rsid w:val="008D60A2"/>
    <w:rsid w:val="008E6A12"/>
    <w:rsid w:val="008F5292"/>
    <w:rsid w:val="00905312"/>
    <w:rsid w:val="009056FE"/>
    <w:rsid w:val="009109FD"/>
    <w:rsid w:val="00920E54"/>
    <w:rsid w:val="00920F07"/>
    <w:rsid w:val="00927399"/>
    <w:rsid w:val="009400AF"/>
    <w:rsid w:val="00940F8E"/>
    <w:rsid w:val="0094500D"/>
    <w:rsid w:val="00945A48"/>
    <w:rsid w:val="009511EC"/>
    <w:rsid w:val="00965F53"/>
    <w:rsid w:val="00970D14"/>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1388"/>
    <w:rsid w:val="00A52A0D"/>
    <w:rsid w:val="00A64127"/>
    <w:rsid w:val="00A6445A"/>
    <w:rsid w:val="00A663B4"/>
    <w:rsid w:val="00A866C6"/>
    <w:rsid w:val="00A8741F"/>
    <w:rsid w:val="00A966EA"/>
    <w:rsid w:val="00A97774"/>
    <w:rsid w:val="00AA0FBE"/>
    <w:rsid w:val="00AA2DF3"/>
    <w:rsid w:val="00AB0218"/>
    <w:rsid w:val="00AB229C"/>
    <w:rsid w:val="00AB2F0D"/>
    <w:rsid w:val="00AC1E58"/>
    <w:rsid w:val="00AC54F0"/>
    <w:rsid w:val="00AC58E4"/>
    <w:rsid w:val="00AD4438"/>
    <w:rsid w:val="00AE3FB5"/>
    <w:rsid w:val="00AE4103"/>
    <w:rsid w:val="00AE4D67"/>
    <w:rsid w:val="00B047E6"/>
    <w:rsid w:val="00B15B78"/>
    <w:rsid w:val="00B204B5"/>
    <w:rsid w:val="00B21EBC"/>
    <w:rsid w:val="00B22A0B"/>
    <w:rsid w:val="00B3100E"/>
    <w:rsid w:val="00B33F2D"/>
    <w:rsid w:val="00B34A9A"/>
    <w:rsid w:val="00B37194"/>
    <w:rsid w:val="00B400C6"/>
    <w:rsid w:val="00B4055B"/>
    <w:rsid w:val="00B412E5"/>
    <w:rsid w:val="00B41D30"/>
    <w:rsid w:val="00B4484E"/>
    <w:rsid w:val="00B50A78"/>
    <w:rsid w:val="00B71EA3"/>
    <w:rsid w:val="00B75884"/>
    <w:rsid w:val="00B80AF3"/>
    <w:rsid w:val="00B8274F"/>
    <w:rsid w:val="00B86CB0"/>
    <w:rsid w:val="00B911C9"/>
    <w:rsid w:val="00BA3229"/>
    <w:rsid w:val="00BA50DC"/>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26239"/>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178F"/>
    <w:rsid w:val="00CD790B"/>
    <w:rsid w:val="00CE0B97"/>
    <w:rsid w:val="00CE5385"/>
    <w:rsid w:val="00CF2F8C"/>
    <w:rsid w:val="00CF4AAF"/>
    <w:rsid w:val="00D057D6"/>
    <w:rsid w:val="00D05B6D"/>
    <w:rsid w:val="00D24618"/>
    <w:rsid w:val="00D45587"/>
    <w:rsid w:val="00D46660"/>
    <w:rsid w:val="00D50530"/>
    <w:rsid w:val="00D67721"/>
    <w:rsid w:val="00D7004A"/>
    <w:rsid w:val="00D70DD1"/>
    <w:rsid w:val="00D71565"/>
    <w:rsid w:val="00D842A5"/>
    <w:rsid w:val="00D86122"/>
    <w:rsid w:val="00D86F69"/>
    <w:rsid w:val="00D903E9"/>
    <w:rsid w:val="00D96072"/>
    <w:rsid w:val="00DA2528"/>
    <w:rsid w:val="00DC0068"/>
    <w:rsid w:val="00DC1E45"/>
    <w:rsid w:val="00DC7615"/>
    <w:rsid w:val="00DD0905"/>
    <w:rsid w:val="00DD4632"/>
    <w:rsid w:val="00DD4644"/>
    <w:rsid w:val="00DF1575"/>
    <w:rsid w:val="00DF3BF2"/>
    <w:rsid w:val="00DF4895"/>
    <w:rsid w:val="00E018E6"/>
    <w:rsid w:val="00E134F5"/>
    <w:rsid w:val="00E15A1C"/>
    <w:rsid w:val="00E23B5D"/>
    <w:rsid w:val="00E24831"/>
    <w:rsid w:val="00E32345"/>
    <w:rsid w:val="00E365E7"/>
    <w:rsid w:val="00E43A4F"/>
    <w:rsid w:val="00E520F3"/>
    <w:rsid w:val="00E52476"/>
    <w:rsid w:val="00E551D1"/>
    <w:rsid w:val="00E57E03"/>
    <w:rsid w:val="00E57E23"/>
    <w:rsid w:val="00E73398"/>
    <w:rsid w:val="00E9545D"/>
    <w:rsid w:val="00E95810"/>
    <w:rsid w:val="00E96F0E"/>
    <w:rsid w:val="00EA5077"/>
    <w:rsid w:val="00EA5497"/>
    <w:rsid w:val="00EB5FD1"/>
    <w:rsid w:val="00EC4684"/>
    <w:rsid w:val="00EC6EC1"/>
    <w:rsid w:val="00EC7E88"/>
    <w:rsid w:val="00ED0FDE"/>
    <w:rsid w:val="00ED24EF"/>
    <w:rsid w:val="00EE260F"/>
    <w:rsid w:val="00F007C9"/>
    <w:rsid w:val="00F1480F"/>
    <w:rsid w:val="00F1775B"/>
    <w:rsid w:val="00F21B00"/>
    <w:rsid w:val="00F23EFD"/>
    <w:rsid w:val="00F25A85"/>
    <w:rsid w:val="00F25E4D"/>
    <w:rsid w:val="00F302AB"/>
    <w:rsid w:val="00F3627D"/>
    <w:rsid w:val="00F4137D"/>
    <w:rsid w:val="00F43F3B"/>
    <w:rsid w:val="00F475E6"/>
    <w:rsid w:val="00F52E18"/>
    <w:rsid w:val="00F5352B"/>
    <w:rsid w:val="00F54B7B"/>
    <w:rsid w:val="00F67F36"/>
    <w:rsid w:val="00F703F0"/>
    <w:rsid w:val="00F76EA0"/>
    <w:rsid w:val="00F776C7"/>
    <w:rsid w:val="00F93412"/>
    <w:rsid w:val="00F96EA8"/>
    <w:rsid w:val="00FA2124"/>
    <w:rsid w:val="00FA6ABB"/>
    <w:rsid w:val="00FA7FBA"/>
    <w:rsid w:val="00FB39C0"/>
    <w:rsid w:val="00FB4574"/>
    <w:rsid w:val="00FC5DE9"/>
    <w:rsid w:val="00FE4AFA"/>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C62A8"/>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C6843-AD24-4D77-96C2-3E0C8305B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6</Pages>
  <Words>2239</Words>
  <Characters>12763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Притула Виктория Сергеевна</dc:creator>
  <cp:lastModifiedBy>Буданова Екатерина Вахаевна</cp:lastModifiedBy>
  <cp:revision>353</cp:revision>
  <cp:lastPrinted>2019-12-03T07:23:00Z</cp:lastPrinted>
  <dcterms:created xsi:type="dcterms:W3CDTF">2019-03-29T14:46:00Z</dcterms:created>
  <dcterms:modified xsi:type="dcterms:W3CDTF">2024-11-15T13:53:00Z</dcterms:modified>
</cp:coreProperties>
</file>